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  <w:sz w:val="16"/>
          <w:szCs w:val="16"/>
        </w:rPr>
      </w:pPr>
      <w:r>
        <w:rPr>
          <w:rFonts w:ascii="Arial" w:eastAsia="MS Mincho" w:hAnsi="Arial" w:cs="Arial"/>
          <w:sz w:val="16"/>
          <w:szCs w:val="16"/>
        </w:rPr>
        <w:t>Specyfikacja Techniczna – roboty malarskie</w:t>
      </w:r>
    </w:p>
    <w:p w:rsid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  <w:sz w:val="24"/>
          <w:szCs w:val="24"/>
        </w:rPr>
      </w:pPr>
      <w:r w:rsidRPr="00B94328">
        <w:rPr>
          <w:rFonts w:ascii="Arial" w:eastAsia="MS Mincho" w:hAnsi="Arial" w:cs="Arial"/>
          <w:sz w:val="24"/>
          <w:szCs w:val="24"/>
        </w:rPr>
        <w:t>SPECYFIKACJA TECHNICZNA WYKONANIA I ODBIORU ROBÓT</w:t>
      </w:r>
    </w:p>
    <w:p w:rsid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1. Wstęp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1.1. Przedmiot ST.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Przedmiotem niniejszej  specyfikacji technicznej są wymagania dotyczące wykonania i odbioru robót malarskich w modernizowanych staj</w:t>
      </w:r>
      <w:r w:rsidR="00BD35F2">
        <w:rPr>
          <w:rFonts w:ascii="Arial" w:eastAsia="MS Mincho" w:hAnsi="Arial" w:cs="Arial"/>
        </w:rPr>
        <w:t>enkach: zwierząt kopytnych (Tomi</w:t>
      </w:r>
      <w:bookmarkStart w:id="0" w:name="_GoBack"/>
      <w:bookmarkEnd w:id="0"/>
      <w:r w:rsidRPr="00B94328">
        <w:rPr>
          <w:rFonts w:ascii="Arial" w:eastAsia="MS Mincho" w:hAnsi="Arial" w:cs="Arial"/>
        </w:rPr>
        <w:t xml:space="preserve">),wilka grzywiastego i kazuara na terenie Nowego ZOO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1.2. Zakres robót objętych ST.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Roboty, których dotyczy specyfikacja, obejmują wszystkie czynności umożliwiające i mające na celu wykonanie następujących robót malarskich: </w:t>
      </w:r>
    </w:p>
    <w:p w:rsidR="00B94328" w:rsidRPr="00B94328" w:rsidRDefault="00B94328" w:rsidP="00B94328">
      <w:pPr>
        <w:pStyle w:val="Zwykytekst"/>
        <w:numPr>
          <w:ilvl w:val="0"/>
          <w:numId w:val="1"/>
        </w:numPr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Dwukrotne malowanie farbą emulsyjną białą powierzchni wewnętrznych - tynków gładkich </w:t>
      </w:r>
    </w:p>
    <w:p w:rsidR="00B94328" w:rsidRPr="00B94328" w:rsidRDefault="00B94328" w:rsidP="00B94328">
      <w:pPr>
        <w:pStyle w:val="Zwykytekst"/>
        <w:numPr>
          <w:ilvl w:val="0"/>
          <w:numId w:val="1"/>
        </w:numPr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Dwukrotne malowanie farbami olejnymi uprzednio malowanych powierzchni drewnianych. Dwukrotne malowanie farbą olejną brązową uprzednio malowanych elementów drewnianych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1.4. Określenia podstawowe.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Określenia podane w niniejszej ST są zgodne z obowiązującymi odpowiednimi normami.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1.5. Ogólne wymagania dotyczące robót.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Wykonawca robót jest odpowiedzialny za jakość ich wykonania i poleceniami Inspektora Nadzoru.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2. Materiały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2.1. Woda (PN-EN 1008:2004)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Do przygotowania farb stosować można każdą wodę zdatną do picia. Niedozwolone jest użycie wód ściekowych, kanalizacyjnych bagiennych oraz wód zawierających tłuszcze organiczne, oleje i muł.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2.2. Farby budowlane gotowe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2.2.1. Farby niezależnie od ich rodzaju powinny odpowiadać wymaganiom norm państwowych lub świadectw dopuszczenia do stosowania w budownictwie.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2.2.2. Farby emulsyjne wytwarzane fabrycznie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Na tynkach można stosować farby emulsyjne na spoiwach z: polioctanu winylu, lateksu </w:t>
      </w:r>
      <w:proofErr w:type="spellStart"/>
      <w:r w:rsidRPr="00B94328">
        <w:rPr>
          <w:rFonts w:ascii="Arial" w:eastAsia="MS Mincho" w:hAnsi="Arial" w:cs="Arial"/>
        </w:rPr>
        <w:t>butadienostyrenowego</w:t>
      </w:r>
      <w:proofErr w:type="spellEnd"/>
      <w:r w:rsidRPr="00B94328">
        <w:rPr>
          <w:rFonts w:ascii="Arial" w:eastAsia="MS Mincho" w:hAnsi="Arial" w:cs="Arial"/>
        </w:rPr>
        <w:t xml:space="preserve"> i innych zgodnie z zasadami podanymi w normach i świadectwach ich dopuszczenia przez ITB.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2.2.3. Farby olejne i ftalowe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Farba olejna do gruntowania ogólnego stosowania wg PN-C-81901:2002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wydajność – 6–8 m2/dm3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czas schnięcia – 12 h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Farby olejne i ftalowe nawierzchniowe ogólnego stosowania wg PN-C-81901/2002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wydajność – 6–10 m2/dm3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2.3. Środki gruntujące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2.3.1. Przy malowaniu farbami emulsyjnymi: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powierzchni betonowych lub tynków zwykłych nie zaleca się gruntowania, o ile świadectwo dopuszczenia nowego rodzaju farby emulsyjnej nie podaje inaczej,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na chłonnych podłożach należy stosować do gruntowania farbę emulsyjną rozcieńczoną wodą w stosunku 1:3–5 z tego samego rodzaju farby, z jakiej przewiduje się wykonanie powłoki malarskiej.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2.4. Szpachlówki.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Szpachlówki powinny być dobrane do zastosowanej powłoki malarskiej – zgodnie z wymaganiami producenta wyrobu.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3. Sprzęt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Roboty można wykonać przy użyciu pędzli lub aparatów natryskowych.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4. Transport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Materiały do robót objętych niniejszą specyfikacją powinny być transportowane zgodnie kartą katalogową wyrobu.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 Wykonanie robót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lastRenderedPageBreak/>
        <w:t>Przy malowaniu powierzchni wewnętrznych temperatura nie powinna być niższa niż +</w:t>
      </w:r>
      <w:smartTag w:uri="urn:schemas-microsoft-com:office:smarttags" w:element="metricconverter">
        <w:smartTagPr>
          <w:attr w:name="ProductID" w:val="8ﾰC"/>
        </w:smartTagPr>
        <w:r w:rsidRPr="00B94328">
          <w:rPr>
            <w:rFonts w:ascii="Arial" w:eastAsia="MS Mincho" w:hAnsi="Arial" w:cs="Arial"/>
          </w:rPr>
          <w:t>8°C</w:t>
        </w:r>
      </w:smartTag>
      <w:r w:rsidRPr="00B94328">
        <w:rPr>
          <w:rFonts w:ascii="Arial" w:eastAsia="MS Mincho" w:hAnsi="Arial" w:cs="Arial"/>
        </w:rPr>
        <w:t>. W okresie zimowym pomieszczenia należy ogrzewać.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W ciągu 2 dni pomieszczenia powinny być ogrzane do temperatury co najmniej +</w:t>
      </w:r>
      <w:smartTag w:uri="urn:schemas-microsoft-com:office:smarttags" w:element="metricconverter">
        <w:smartTagPr>
          <w:attr w:name="ProductID" w:val="8ﾰC"/>
        </w:smartTagPr>
        <w:r w:rsidRPr="00B94328">
          <w:rPr>
            <w:rFonts w:ascii="Arial" w:eastAsia="MS Mincho" w:hAnsi="Arial" w:cs="Arial"/>
          </w:rPr>
          <w:t>8°C</w:t>
        </w:r>
      </w:smartTag>
      <w:r w:rsidRPr="00B94328">
        <w:rPr>
          <w:rFonts w:ascii="Arial" w:eastAsia="MS Mincho" w:hAnsi="Arial" w:cs="Arial"/>
        </w:rPr>
        <w:t>. Po zakończeniu malowania można dopuścić do stopniowego obniżania temperatury, jednak przez 3 dni nie może spaść poniżej +</w:t>
      </w:r>
      <w:smartTag w:uri="urn:schemas-microsoft-com:office:smarttags" w:element="metricconverter">
        <w:smartTagPr>
          <w:attr w:name="ProductID" w:val="1ﾰC"/>
        </w:smartTagPr>
        <w:r w:rsidRPr="00B94328">
          <w:rPr>
            <w:rFonts w:ascii="Arial" w:eastAsia="MS Mincho" w:hAnsi="Arial" w:cs="Arial"/>
          </w:rPr>
          <w:t>1°C</w:t>
        </w:r>
      </w:smartTag>
      <w:r w:rsidRPr="00B94328">
        <w:rPr>
          <w:rFonts w:ascii="Arial" w:eastAsia="MS Mincho" w:hAnsi="Arial" w:cs="Arial"/>
        </w:rPr>
        <w:t>.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W czasie malowania niedopuszczalne jest nawietrzanie malowanych powierzchni ciepłym powietrzem od przewodów wentylacyjnych i urządzeń ogrzewczych.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Gruntowanie i dwukrotne powierzchni tynków można wykonać po usunięciu usterek.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5.1. Przygotowanie podłoży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5.1.1. Podłoże posiadające drobne uszkodzenia powierzchni powinny być, naprawione przez wypełnienie ubytków zaprawą cementowo-wapienną. Powierzchnie powinny być oczyszczone z kurzu i brudu, wystających drutów, nacieków zaprawy itp. Odstające tynki należy odbić, a rysy poszerzyć i ponownie wypełnić zaprawą cementowo-wapienną.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5.1.2. Powierzchnie metalowe powinny być oczyszczone, odtłuszczone zgodnie z wymaganiami normy PNISO 8501-1:1996, dla danego typu farby podkładowej.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5.2. Gruntowanie.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5.2.1. Przy malowaniu farbą wapienną wymalowania można wykonywać bez gruntowania powierzchni.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5.2.2. Przy malowaniu farbami emulsyjnymi do gruntowania stosować farbę emulsyjną tego samego rodzaju z jakiej ma być wykonana powłoka lecz rozcieńczoną wodą w stosunku 1:3–5.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5.2.3. Przy malowaniu farbami olejnymi i syntetycznymi powierzchnie gruntować pokostem.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5.2.4. Przy malowaniu farbami krzemianowymi powierzchnię należy zagruntować odpowiednio dobranym płynem gruntującym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5.3. Wykonywania powłok malarskich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5.3.1. Powłoki z farb emulsyjnych i krzemianowych powinny być niezmywalne, przy stosowaniu środków myjących i dezynfekujących.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Powłoki powinny dawać aksamitno-matowy wygląd powierzchni.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Barwa powłok powinna być jednolita, bez smug i plam.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Powierzchnia powłok bez uszkodzeń, smug, plam i śladów pędzla.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5.3.2 Powłoki z farb i lakierów olejnych i syntetycznych powinny mieć barwę jednolitą zgodną ze wzorcem, bez smug, zacieków, uszkodzeń, zmarszczeń, pęcherzy, plam i zmiany odcienia.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Powłoki powinny mieć jednolity połysk.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Przy malowaniu wielowarstwowym należy na poszczególne warstwy stosować farby w różnych odcieniach.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6. Kontrola jakości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6.1. Powierzchnia do malowania.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Kontrola stanu technicznego powierzchni przygotowanej do malowania powinna obejmować: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sprawdzenie wyglądu powierzchni,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sprawdzenie wsiąkliwości,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sprawdzenie wyschnięcia podłoża,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sprawdzenie czystości,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Sprawdzenie wyglądu powierzchni pod malowanie należy wykonać przez oględziny zewnętrzne.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Sprawdzenie wsiąkliwości należy wykonać przez spryskiwanie powierzchni przewidzianej pod malowanie kilku kroplami wody. Ciemniejsza plama zwilżonej powierzchni powinna nastąpić nie wcześniej niż po 3 s.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6.2. Roboty malarskie.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6.2.1. Badania powłok przy ich odbiorach należy przeprowadzić po zakończeniu ich wykonania: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dla farb emulsyjnych nie wcześniej niż po 7 dniach,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dla pozostałych nie wcześniej niż po 14 dniach.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6.2.2. Badania przeprowadza się przy temperaturze powietrza nie niższej od +</w:t>
      </w:r>
      <w:smartTag w:uri="urn:schemas-microsoft-com:office:smarttags" w:element="metricconverter">
        <w:smartTagPr>
          <w:attr w:name="ProductID" w:val="5ﾰC"/>
        </w:smartTagPr>
        <w:r w:rsidRPr="00B94328">
          <w:rPr>
            <w:rFonts w:ascii="Arial" w:eastAsia="MS Mincho" w:hAnsi="Arial" w:cs="Arial"/>
          </w:rPr>
          <w:t>5°C</w:t>
        </w:r>
      </w:smartTag>
      <w:r w:rsidRPr="00B94328">
        <w:rPr>
          <w:rFonts w:ascii="Arial" w:eastAsia="MS Mincho" w:hAnsi="Arial" w:cs="Arial"/>
        </w:rPr>
        <w:t xml:space="preserve"> przy wilgotności powietrza mniejszej od 65%.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6.2.3. Badania powinny obejmować: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sprawdzenie wyglądu zewnętrznego,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sprawdzenie zgodności barwy ze wzorcem,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– dla farb olejnych i syntetycznych: sprawdzenie powłoki na zarysowanie i uderzenia, sprawdzenie elastyczności i twardości oraz przyczepności zgodnie z odpowiednimi normami państwowymi.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Jeśli badania dadzą wynik pozytywny, to roboty malarskie należy uznać za wykonane prawidłowo. Gdy którekolwiek z badań dało wynik ujemny, należy usunąć wykonane powłoki częściowo lub całkowicie i wykonać powtórnie.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7. Obmiar robót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Jednostką obmiarową robót jest m2 powierzchni zamalowanej wraz z przygotowaniem do malowania podłoża, przygotowaniem farb, ustawieniem i rozebraniem rusztowań lub drabin malarskich oraz uporządkowaniem stanowiska pracy. Ilość robót określa się na podstawie projektu z uwzględnieniem zmian zaaprobowanych przez Inżyniera i sprawdzonych w naturze.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8. Odbiór robót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Roboty podlegają warunkom odbioru według zasad podanych poniżej.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8.1. Odbiór podłoża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8.1.1. Zastosowane do przygotowania podłoża materiały powinny odpowiadać wymaganiom zawartym w normach państwowych lub świadectwach dopuszczenia do stosowania w budownictwie. Podłoże, posiadające drobne uszkodzenia powinno być naprawione przez wypełnienie ubytków zaprawą cementowo-wapienną do robót tynkowych lub odpowiednią szpachlówką. Podłoże powinno być przygotowane zgodnie z wymaganiami w pkt. 5.2.1. Jeżeli odbiór podłoża odbywa się po dłuższym czasie od jego wykonania, należy podłoże przed gruntowaniem oczyścić.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8.2. Odbiór robót malarskich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8.2.1. Sprawdzenie wyglądu zewnętrznego powłok malarskich polegające na stwierdzeniu równomiernego rozłożenia farby, jednolitego natężenia barwy i zgodności ze wzorcem producenta, braku prześwitu i dostrzegalnych skupisk lub grudek nie roztartego pigmentu lub wypełniaczy, braku plam, smug, zacieków, pęcherzy odstających płatów powłoki, widocznych okiem śladów pędzla itp., w stopniu kwalifikującym powierzchnię malowaną do powłok o dobrej jakości wykonania.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8.2.2. Sprawdzenie odporności powłoki na wycieranie polegające na lekkim, kilkakrotnym potarciu jej powierzchni miękką, wełnianą lub bawełnianą szmatką kontrastowego koloru.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8.2.3. Sprawdzenie odporności powłoki na zarysowanie.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8.2.4. Sprawdzenie przyczepności powłoki do podłoża polegające na próbie poderwania ostrym narzędziem powłoki od podłoża.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8.2.5. Sprawdzenie odporności powłoki na zmywanie wodą polegające na zwilżaniu badanej powierzchni powłoki przez kilkakrotne potarcie mokrą miękką szczotką lub szmatką.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Wyniki odbiorów materiałów i robót powinny być każdorazowo wpisywane do dziennika budowy.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9. Podstawa płatności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Płaci się za ustaloną ilość m2 powierzchni zamalowanej wg ceny jednostkowej wraz z przygotowaniem do malowania podłoża, przygotowaniem farb, ustawieniem i rozebraniem rusztowań lub drabin malarskich oraz uporządkowaniem stanowiska pracy. Ilość robót określa się na podstawie projektu z uwzględnieniem zmian zaaprobowanych przez Inżyniera i sprawdzonych w naturze.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10. Przepisy związane 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PN-62/C-81502 Szpachlówki i kity szpachlowe. Metody badań.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PN-EN 459-1:2003 Wapno budowlane.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 xml:space="preserve">PN-C-81901:2002 Farby olejne i </w:t>
      </w:r>
      <w:proofErr w:type="spellStart"/>
      <w:r w:rsidRPr="00B94328">
        <w:rPr>
          <w:rFonts w:ascii="Arial" w:eastAsia="MS Mincho" w:hAnsi="Arial" w:cs="Arial"/>
        </w:rPr>
        <w:t>alkidowe</w:t>
      </w:r>
      <w:proofErr w:type="spellEnd"/>
      <w:r w:rsidRPr="00B94328">
        <w:rPr>
          <w:rFonts w:ascii="Arial" w:eastAsia="MS Mincho" w:hAnsi="Arial" w:cs="Arial"/>
        </w:rPr>
        <w:t>.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  <w:r w:rsidRPr="00B94328">
        <w:rPr>
          <w:rFonts w:ascii="Arial" w:eastAsia="MS Mincho" w:hAnsi="Arial" w:cs="Arial"/>
        </w:rPr>
        <w:t>PN-C-81914:2002 Farby dyspersyjne stosowane wewnątrz.</w:t>
      </w: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B94328" w:rsidRPr="00B94328" w:rsidRDefault="00B94328" w:rsidP="00B94328">
      <w:pPr>
        <w:pStyle w:val="Zwykytekst"/>
        <w:jc w:val="both"/>
        <w:rPr>
          <w:rFonts w:ascii="Arial" w:eastAsia="MS Mincho" w:hAnsi="Arial" w:cs="Arial"/>
        </w:rPr>
      </w:pPr>
    </w:p>
    <w:p w:rsidR="00160702" w:rsidRDefault="00160702"/>
    <w:sectPr w:rsidR="00160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52BAF"/>
    <w:multiLevelType w:val="hybridMultilevel"/>
    <w:tmpl w:val="31DAD0D6"/>
    <w:lvl w:ilvl="0" w:tplc="E30009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1DD"/>
    <w:rsid w:val="000D38F7"/>
    <w:rsid w:val="00160702"/>
    <w:rsid w:val="00B94328"/>
    <w:rsid w:val="00BD35F2"/>
    <w:rsid w:val="00C1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B943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94328"/>
    <w:rPr>
      <w:rFonts w:ascii="Courier New" w:eastAsia="Times New Roman" w:hAnsi="Courier New" w:cs="Courier New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B943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94328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1295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</dc:creator>
  <cp:keywords/>
  <dc:description/>
  <cp:lastModifiedBy>zoo</cp:lastModifiedBy>
  <cp:revision>5</cp:revision>
  <cp:lastPrinted>2013-07-12T11:55:00Z</cp:lastPrinted>
  <dcterms:created xsi:type="dcterms:W3CDTF">2013-07-12T11:52:00Z</dcterms:created>
  <dcterms:modified xsi:type="dcterms:W3CDTF">2013-07-12T11:59:00Z</dcterms:modified>
</cp:coreProperties>
</file>